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11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Святослава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Пионерская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>115, кв.35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7"/>
          <w:szCs w:val="27"/>
        </w:rPr>
        <w:t>25.10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предоставление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месяцев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7"/>
          <w:szCs w:val="27"/>
        </w:rPr>
        <w:t>26.10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асчет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до </w:t>
      </w:r>
      <w:r>
        <w:rPr>
          <w:rFonts w:ascii="Times New Roman" w:eastAsia="Times New Roman" w:hAnsi="Times New Roman" w:cs="Times New Roman"/>
          <w:sz w:val="27"/>
          <w:szCs w:val="27"/>
        </w:rPr>
        <w:t>25.10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, представив его с нарушением срока 17.11.2024.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выпис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7"/>
          <w:szCs w:val="27"/>
        </w:rPr>
        <w:t>ь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впервые привлекается к административной ответственности по ст.15.5 КоАП РФ, суд считает возможным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Святослава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</w:t>
      </w:r>
      <w:r>
        <w:rPr>
          <w:rFonts w:ascii="Times New Roman" w:eastAsia="Times New Roman" w:hAnsi="Times New Roman" w:cs="Times New Roman"/>
          <w:sz w:val="27"/>
          <w:szCs w:val="27"/>
        </w:rPr>
        <w:t>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9582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EB73-6A95-432E-97AF-C373B270AA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